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0B1220"/>
        </w:rPr>
        <w:t>CRA Article 14 — 72-hour Notification</w:t>
      </w:r>
    </w:p>
    <w:p>
      <w:r>
        <w:rPr>
          <w:b/>
          <w:color w:val="0052FF"/>
        </w:rPr>
        <w:t xml:space="preserve">Purpose: </w:t>
      </w:r>
      <w:r>
        <w:t>Second-stage notification providing general information and an initial assessment.</w:t>
      </w:r>
    </w:p>
    <w:p>
      <w:r>
        <w:rPr>
          <w:b/>
          <w:color w:val="0052FF"/>
        </w:rPr>
        <w:t xml:space="preserve">Deadline: </w:t>
      </w:r>
      <w:r>
        <w:t>Without undue delay, in any case within 72 hours of the manufacturer becoming aware.</w:t>
      </w:r>
    </w:p>
    <w:p>
      <w:r>
        <w:rPr>
          <w:b/>
          <w:color w:val="0052FF"/>
        </w:rPr>
        <w:t xml:space="preserve">Precondition: </w:t>
      </w:r>
      <w:r>
        <w:t>The Early Warning has already been submitted for this case.</w:t>
      </w:r>
    </w:p>
    <w:p>
      <w:r>
        <w:rPr>
          <w:b/>
          <w:color w:val="0052FF"/>
        </w:rPr>
        <w:t xml:space="preserve">Channel: </w:t>
      </w:r>
      <w:r>
        <w:t>ENISA CRA Single Reporting Platform (SRP) — submitted by an Assigned Representative (AR) via EU Login.</w:t>
      </w:r>
    </w:p>
    <w:p>
      <w:r>
        <w:rPr>
          <w:b/>
          <w:color w:val="0052FF"/>
        </w:rPr>
        <w:t xml:space="preserve">Source: </w:t>
      </w:r>
      <w:r>
        <w:t>ENISA SRP FAQ Q16 (v. 03/08/2026). X = Obligatory, C = Copied from previous step, I = Obligatory if info available, O = Optional.</w:t>
      </w:r>
    </w:p>
    <w:p/>
    <w:p>
      <w:pPr>
        <w:pStyle w:val="Heading2"/>
      </w:pPr>
      <w:r>
        <w:rPr>
          <w:color w:val="0B1220"/>
        </w:rPr>
        <w:t>1 · Metadata (copied — update if needed)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1</w:t>
            </w:r>
          </w:p>
        </w:tc>
        <w:tc>
          <w:tcPr>
            <w:tcW w:type="dxa" w:w="3249"/>
          </w:tcPr>
          <w:p>
            <w:r>
              <w:t>Notification type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2</w:t>
            </w:r>
          </w:p>
        </w:tc>
        <w:tc>
          <w:tcPr>
            <w:tcW w:type="dxa" w:w="3249"/>
          </w:tcPr>
          <w:p>
            <w:r>
              <w:t>Notification level</w:t>
            </w:r>
          </w:p>
        </w:tc>
        <w:tc>
          <w:tcPr>
            <w:tcW w:type="dxa" w:w="3249"/>
          </w:tcPr>
          <w:p>
            <w:r>
              <w:t>72h Notification</w:t>
            </w:r>
          </w:p>
        </w:tc>
      </w:tr>
      <w:tr>
        <w:tc>
          <w:tcPr>
            <w:tcW w:type="dxa" w:w="3249"/>
          </w:tcPr>
          <w:p>
            <w:r>
              <w:t>7</w:t>
            </w:r>
          </w:p>
        </w:tc>
        <w:tc>
          <w:tcPr>
            <w:tcW w:type="dxa" w:w="3249"/>
          </w:tcPr>
          <w:p>
            <w:r>
              <w:t>Manufacturer / OSS steward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8</w:t>
            </w:r>
          </w:p>
        </w:tc>
        <w:tc>
          <w:tcPr>
            <w:tcW w:type="dxa" w:w="3249"/>
          </w:tcPr>
          <w:p>
            <w:r>
              <w:t>Product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9</w:t>
            </w:r>
          </w:p>
        </w:tc>
        <w:tc>
          <w:tcPr>
            <w:tcW w:type="dxa" w:w="3249"/>
          </w:tcPr>
          <w:p>
            <w:r>
              <w:t>Product Type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10</w:t>
            </w:r>
          </w:p>
        </w:tc>
        <w:tc>
          <w:tcPr>
            <w:tcW w:type="dxa" w:w="3249"/>
          </w:tcPr>
          <w:p>
            <w:r>
              <w:t>Product Category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11</w:t>
            </w:r>
          </w:p>
        </w:tc>
        <w:tc>
          <w:tcPr>
            <w:tcW w:type="dxa" w:w="3249"/>
          </w:tcPr>
          <w:p>
            <w:r>
              <w:t>Member States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12</w:t>
            </w:r>
          </w:p>
        </w:tc>
        <w:tc>
          <w:tcPr>
            <w:tcW w:type="dxa" w:w="3249"/>
          </w:tcPr>
          <w:p>
            <w:r>
              <w:t>Title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2 · Vulnerability track — obligatory fields (X)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v13</w:t>
            </w:r>
          </w:p>
        </w:tc>
        <w:tc>
          <w:tcPr>
            <w:tcW w:type="dxa" w:w="3249"/>
          </w:tcPr>
          <w:p>
            <w:r>
              <w:t>CVE ID (O)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v14</w:t>
            </w:r>
          </w:p>
        </w:tc>
        <w:tc>
          <w:tcPr>
            <w:tcW w:type="dxa" w:w="3249"/>
          </w:tcPr>
          <w:p>
            <w:r>
              <w:t>EUVD ID (O)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v15</w:t>
            </w:r>
          </w:p>
        </w:tc>
        <w:tc>
          <w:tcPr>
            <w:tcW w:type="dxa" w:w="3249"/>
          </w:tcPr>
          <w:p>
            <w:r>
              <w:t>General information (overview)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v16</w:t>
            </w:r>
          </w:p>
        </w:tc>
        <w:tc>
          <w:tcPr>
            <w:tcW w:type="dxa" w:w="3249"/>
          </w:tcPr>
          <w:p>
            <w:r>
              <w:t>a. General nature of the vulnerability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v17</w:t>
            </w:r>
          </w:p>
        </w:tc>
        <w:tc>
          <w:tcPr>
            <w:tcW w:type="dxa" w:w="3249"/>
          </w:tcPr>
          <w:p>
            <w:r>
              <w:t>b. General nature of the exploit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v18</w:t>
            </w:r>
          </w:p>
        </w:tc>
        <w:tc>
          <w:tcPr>
            <w:tcW w:type="dxa" w:w="3249"/>
          </w:tcPr>
          <w:p>
            <w:r>
              <w:t>Corrective / mitigating measures taken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v19</w:t>
            </w:r>
          </w:p>
        </w:tc>
        <w:tc>
          <w:tcPr>
            <w:tcW w:type="dxa" w:w="3249"/>
          </w:tcPr>
          <w:p>
            <w:r>
              <w:t>Measures users can take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v20</w:t>
            </w:r>
          </w:p>
        </w:tc>
        <w:tc>
          <w:tcPr>
            <w:tcW w:type="dxa" w:w="3249"/>
          </w:tcPr>
          <w:p>
            <w:r>
              <w:t>Considered sensitivity of information (I)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3 · Incident track — obligatory fields (X)</w:t>
      </w:r>
    </w:p>
    <w:p>
      <w:r>
        <w:rPr>
          <w:i/>
          <w:color w:val="4B5563"/>
        </w:rPr>
        <w:t>Fill only if this notification concerns an incident, not a vulnerability.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i13</w:t>
            </w:r>
          </w:p>
        </w:tc>
        <w:tc>
          <w:tcPr>
            <w:tcW w:type="dxa" w:w="3249"/>
          </w:tcPr>
          <w:p>
            <w:r>
              <w:t>Suspected unlawful / malicious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i14</w:t>
            </w:r>
          </w:p>
        </w:tc>
        <w:tc>
          <w:tcPr>
            <w:tcW w:type="dxa" w:w="3249"/>
          </w:tcPr>
          <w:p>
            <w:r>
              <w:t>General information — nature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i15</w:t>
            </w:r>
          </w:p>
        </w:tc>
        <w:tc>
          <w:tcPr>
            <w:tcW w:type="dxa" w:w="3249"/>
          </w:tcPr>
          <w:p>
            <w:r>
              <w:t>Detected (UTC)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i16</w:t>
            </w:r>
          </w:p>
        </w:tc>
        <w:tc>
          <w:tcPr>
            <w:tcW w:type="dxa" w:w="3249"/>
          </w:tcPr>
          <w:p>
            <w:r>
              <w:t>Occurred (UTC)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i17</w:t>
            </w:r>
          </w:p>
        </w:tc>
        <w:tc>
          <w:tcPr>
            <w:tcW w:type="dxa" w:w="3249"/>
          </w:tcPr>
          <w:p>
            <w:r>
              <w:t>Initial assessment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i18</w:t>
            </w:r>
          </w:p>
        </w:tc>
        <w:tc>
          <w:tcPr>
            <w:tcW w:type="dxa" w:w="3249"/>
          </w:tcPr>
          <w:p>
            <w:r>
              <w:t>Corrective / mitigating measures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i19</w:t>
            </w:r>
          </w:p>
        </w:tc>
        <w:tc>
          <w:tcPr>
            <w:tcW w:type="dxa" w:w="3249"/>
          </w:tcPr>
          <w:p>
            <w:r>
              <w:t>Measures users can take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i20</w:t>
            </w:r>
          </w:p>
        </w:tc>
        <w:tc>
          <w:tcPr>
            <w:tcW w:type="dxa" w:w="3249"/>
          </w:tcPr>
          <w:p>
            <w:r>
              <w:t>Sensitivity (I)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4 · Particularly Exceptional Circumstances (PEC) — CRA Art. 16(2)</w:t>
      </w:r>
    </w:p>
    <w:p>
      <w:r>
        <w:t>☐ Not applied — ENISA receives the full 72 h notification content.</w:t>
      </w:r>
    </w:p>
    <w:p>
      <w:r>
        <w:t>☐ Applied — flag one or more of Art. 16(2)(a), (b), (c) per Delegated Regulation C(2025)8407. ENISA initially receives only partial information.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4873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4873"/>
          </w:tcPr>
          <w:p>
            <w:r>
              <w:t>Justification for PEC (if applied)</w:t>
            </w:r>
          </w:p>
        </w:tc>
        <w:tc>
          <w:tcPr>
            <w:tcW w:type="dxa" w:w="4873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Approvals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Name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Signed off</w:t>
            </w:r>
          </w:p>
        </w:tc>
      </w:tr>
      <w:tr>
        <w:tc>
          <w:tcPr>
            <w:tcW w:type="dxa" w:w="3249"/>
          </w:tcPr>
          <w:p>
            <w:r>
              <w:t>Primary AR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Product Security Lead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Legal / Compliance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PR / Customer Comms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</w:tbl>
    <w:p>
      <w:r>
        <w:rPr>
          <w:i/>
          <w:color w:val="4B5563"/>
        </w:rPr>
        <w:t>Template compiled by NexTech.Law from ENISA SRP FAQ Q16 and CRA Art. 14(2)(b) / 16(2). General guidance only — not legal advice.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