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0B1220"/>
        </w:rPr>
        <w:t>CRA Article 14 — Early Warning (24 h)</w:t>
      </w:r>
    </w:p>
    <w:p>
      <w:r>
        <w:rPr>
          <w:b/>
          <w:color w:val="0052FF"/>
        </w:rPr>
        <w:t xml:space="preserve">Purpose: </w:t>
      </w:r>
      <w:r>
        <w:t>First-stage notification of an Actively Exploited Vulnerability (AEV) or Severe Incident (SI) affecting a product with digital elements.</w:t>
      </w:r>
    </w:p>
    <w:p>
      <w:r>
        <w:rPr>
          <w:b/>
          <w:color w:val="0052FF"/>
        </w:rPr>
        <w:t xml:space="preserve">Deadline: </w:t>
      </w:r>
      <w:r>
        <w:t>Without undue delay, in any case within 24 hours of the manufacturer becoming aware.</w:t>
      </w:r>
    </w:p>
    <w:p>
      <w:r>
        <w:rPr>
          <w:b/>
          <w:color w:val="0052FF"/>
        </w:rPr>
        <w:t xml:space="preserve">Channel: </w:t>
      </w:r>
      <w:r>
        <w:t>ENISA CRA Single Reporting Platform (SRP) — submitted by an Assigned Representative (AR) via EU Login.</w:t>
      </w:r>
    </w:p>
    <w:p>
      <w:r>
        <w:rPr>
          <w:b/>
          <w:color w:val="0052FF"/>
        </w:rPr>
        <w:t xml:space="preserve">Source: </w:t>
      </w:r>
      <w:r>
        <w:t>ENISA SRP FAQ Q16 (v. 03/08/2026). X = Obligatory, C = Copied from previous step, I = Obligatory if info available, O = Optional.</w:t>
      </w:r>
    </w:p>
    <w:p/>
    <w:p>
      <w:pPr>
        <w:pStyle w:val="Heading2"/>
      </w:pPr>
      <w:r>
        <w:rPr>
          <w:color w:val="0B1220"/>
        </w:rPr>
        <w:t>1 · Notification metadata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</w:rPr>
              <w:t>#</w:t>
            </w:r>
          </w:p>
        </w:tc>
        <w:tc>
          <w:tcPr>
            <w:tcW w:type="dxa" w:w="3249"/>
          </w:tcPr>
          <w:p>
            <w:r>
              <w:rPr>
                <w:b/>
              </w:rPr>
              <w:t>Field</w:t>
            </w:r>
          </w:p>
        </w:tc>
        <w:tc>
          <w:tcPr>
            <w:tcW w:type="dxa" w:w="3249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3249"/>
          </w:tcPr>
          <w:p>
            <w:r>
              <w:t>1</w:t>
            </w:r>
          </w:p>
        </w:tc>
        <w:tc>
          <w:tcPr>
            <w:tcW w:type="dxa" w:w="3249"/>
          </w:tcPr>
          <w:p>
            <w:r>
              <w:t>Notification type (Vulnerability / Incident)</w:t>
            </w:r>
          </w:p>
        </w:tc>
        <w:tc>
          <w:tcPr>
            <w:tcW w:type="dxa" w:w="3249"/>
          </w:tcPr>
          <w:p>
            <w:r>
              <w:t>e.g. Vulnerability</w:t>
            </w:r>
          </w:p>
        </w:tc>
      </w:tr>
      <w:tr>
        <w:tc>
          <w:tcPr>
            <w:tcW w:type="dxa" w:w="3249"/>
          </w:tcPr>
          <w:p>
            <w:r>
              <w:t>2</w:t>
            </w:r>
          </w:p>
        </w:tc>
        <w:tc>
          <w:tcPr>
            <w:tcW w:type="dxa" w:w="3249"/>
          </w:tcPr>
          <w:p>
            <w:r>
              <w:t>Notification level</w:t>
            </w:r>
          </w:p>
        </w:tc>
        <w:tc>
          <w:tcPr>
            <w:tcW w:type="dxa" w:w="3249"/>
          </w:tcPr>
          <w:p>
            <w:r>
              <w:t>24h — Early Warning</w:t>
            </w:r>
          </w:p>
        </w:tc>
      </w:tr>
      <w:tr>
        <w:tc>
          <w:tcPr>
            <w:tcW w:type="dxa" w:w="3249"/>
          </w:tcPr>
          <w:p>
            <w:r>
              <w:t>6</w:t>
            </w:r>
          </w:p>
        </w:tc>
        <w:tc>
          <w:tcPr>
            <w:tcW w:type="dxa" w:w="3249"/>
          </w:tcPr>
          <w:p>
            <w:r>
              <w:t>Reporter (AR name &amp; EU Login)</w:t>
            </w:r>
          </w:p>
        </w:tc>
        <w:tc>
          <w:tcPr>
            <w:tcW w:type="dxa" w:w="3249"/>
          </w:tcPr>
          <w:p>
            <w:r>
              <w:t>auto-filled by SRP</w:t>
            </w:r>
          </w:p>
        </w:tc>
      </w:tr>
      <w:tr>
        <w:tc>
          <w:tcPr>
            <w:tcW w:type="dxa" w:w="3249"/>
          </w:tcPr>
          <w:p>
            <w:r>
              <w:t>7</w:t>
            </w:r>
          </w:p>
        </w:tc>
        <w:tc>
          <w:tcPr>
            <w:tcW w:type="dxa" w:w="3249"/>
          </w:tcPr>
          <w:p>
            <w:r>
              <w:t>Name of manufacturer / OSS steward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8</w:t>
            </w:r>
          </w:p>
        </w:tc>
        <w:tc>
          <w:tcPr>
            <w:tcW w:type="dxa" w:w="3249"/>
          </w:tcPr>
          <w:p>
            <w:r>
              <w:t>Product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9</w:t>
            </w:r>
          </w:p>
        </w:tc>
        <w:tc>
          <w:tcPr>
            <w:tcW w:type="dxa" w:w="3249"/>
          </w:tcPr>
          <w:p>
            <w:r>
              <w:t>Product Type (Default / Important / Critical)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10</w:t>
            </w:r>
          </w:p>
        </w:tc>
        <w:tc>
          <w:tcPr>
            <w:tcW w:type="dxa" w:w="3249"/>
          </w:tcPr>
          <w:p>
            <w:r>
              <w:t>Product Category (CRA Annex III / IV)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11</w:t>
            </w:r>
          </w:p>
        </w:tc>
        <w:tc>
          <w:tcPr>
            <w:tcW w:type="dxa" w:w="3249"/>
          </w:tcPr>
          <w:p>
            <w:r>
              <w:t>Member States where product available (I)</w:t>
            </w:r>
          </w:p>
        </w:tc>
        <w:tc>
          <w:tcPr>
            <w:tcW w:type="dxa" w:w="3249"/>
          </w:tcPr>
          <w:p>
            <w:r>
              <w:t>e.g. AT, DE, FR, IT, NL</w:t>
            </w:r>
          </w:p>
        </w:tc>
      </w:tr>
      <w:tr>
        <w:tc>
          <w:tcPr>
            <w:tcW w:type="dxa" w:w="3249"/>
          </w:tcPr>
          <w:p>
            <w:r>
              <w:t>12</w:t>
            </w:r>
          </w:p>
        </w:tc>
        <w:tc>
          <w:tcPr>
            <w:tcW w:type="dxa" w:w="3249"/>
          </w:tcPr>
          <w:p>
            <w:r>
              <w:t>Title</w:t>
            </w:r>
          </w:p>
        </w:tc>
        <w:tc>
          <w:tcPr>
            <w:tcW w:type="dxa" w:w="3249"/>
          </w:tcPr>
          <w:p>
            <w:r>
              <w:t>One-line human-readable title</w:t>
            </w:r>
          </w:p>
        </w:tc>
      </w:tr>
    </w:tbl>
    <w:p>
      <w:pPr>
        <w:pStyle w:val="Heading2"/>
      </w:pPr>
      <w:r>
        <w:rPr>
          <w:color w:val="0B1220"/>
        </w:rPr>
        <w:t>2 · Awareness timestamp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rPr>
                <w:b/>
              </w:rPr>
              <w:t>Field</w:t>
            </w:r>
          </w:p>
        </w:tc>
        <w:tc>
          <w:tcPr>
            <w:tcW w:type="dxa" w:w="4873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4873"/>
          </w:tcPr>
          <w:p>
            <w:r>
              <w:t>Date &amp; time of awareness (UTC)</w:t>
            </w:r>
          </w:p>
        </w:tc>
        <w:tc>
          <w:tcPr>
            <w:tcW w:type="dxa" w:w="4873"/>
          </w:tcPr>
          <w:p>
            <w:r>
              <w:t>YYYY-MM-DD hh:mm UTC</w:t>
            </w:r>
          </w:p>
        </w:tc>
      </w:tr>
      <w:tr>
        <w:tc>
          <w:tcPr>
            <w:tcW w:type="dxa" w:w="4873"/>
          </w:tcPr>
          <w:p>
            <w:r>
              <w:t>Source of awareness</w:t>
            </w:r>
          </w:p>
        </w:tc>
        <w:tc>
          <w:tcPr>
            <w:tcW w:type="dxa" w:w="4873"/>
          </w:tcPr>
          <w:p>
            <w:r>
              <w:t>researcher / customer / internal / third-party CSIRT / telemetry</w:t>
            </w:r>
          </w:p>
        </w:tc>
      </w:tr>
      <w:tr>
        <w:tc>
          <w:tcPr>
            <w:tcW w:type="dxa" w:w="4873"/>
          </w:tcPr>
          <w:p>
            <w:r>
              <w:t>Case ID (internal)</w:t>
            </w:r>
          </w:p>
        </w:tc>
        <w:tc>
          <w:tcPr>
            <w:tcW w:type="dxa" w:w="4873"/>
          </w:tcPr>
          <w:p>
            <w:r>
              <w:t>e.g. VULN-2026-0037</w:t>
            </w:r>
          </w:p>
        </w:tc>
      </w:tr>
    </w:tbl>
    <w:p>
      <w:pPr>
        <w:pStyle w:val="Heading2"/>
      </w:pPr>
      <w:r>
        <w:rPr>
          <w:color w:val="0B1220"/>
        </w:rPr>
        <w:t>3 · Additional notes (optional)</w:t>
      </w:r>
    </w:p>
    <w:p>
      <w:r>
        <w:rPr>
          <w:i/>
          <w:color w:val="4B5563"/>
        </w:rPr>
        <w:t>Free-text. Keep factual. Do not include PII, exploit code or attribution guesses at this stage.</w:t>
      </w:r>
    </w:p>
    <w:p>
      <w:pPr>
        <w:pStyle w:val="Heading2"/>
      </w:pPr>
      <w:r>
        <w:rPr>
          <w:color w:val="0B1220"/>
        </w:rPr>
        <w:t>Approvals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</w:rPr>
              <w:t>Role</w:t>
            </w:r>
          </w:p>
        </w:tc>
        <w:tc>
          <w:tcPr>
            <w:tcW w:type="dxa" w:w="3249"/>
          </w:tcPr>
          <w:p>
            <w:r>
              <w:rPr>
                <w:b/>
              </w:rPr>
              <w:t>Name</w:t>
            </w:r>
          </w:p>
        </w:tc>
        <w:tc>
          <w:tcPr>
            <w:tcW w:type="dxa" w:w="3249"/>
          </w:tcPr>
          <w:p>
            <w:r>
              <w:rPr>
                <w:b/>
              </w:rPr>
              <w:t>Signed off</w:t>
            </w:r>
          </w:p>
        </w:tc>
      </w:tr>
      <w:tr>
        <w:tc>
          <w:tcPr>
            <w:tcW w:type="dxa" w:w="3249"/>
          </w:tcPr>
          <w:p>
            <w:r>
              <w:t>Primary AR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Product Security Lead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Legal / Compliance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</w:tbl>
    <w:p>
      <w:r>
        <w:rPr>
          <w:i/>
          <w:color w:val="4B5563"/>
        </w:rPr>
        <w:t>Template compiled by NexTech.Law from ENISA SRP FAQ Q16. General guidance only — not legal advice.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