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color w:val="0B1220"/>
        </w:rPr>
        <w:t>CRA Article 14 — Final Report</w:t>
      </w:r>
    </w:p>
    <w:p>
      <w:r>
        <w:rPr>
          <w:b/>
          <w:color w:val="0052FF"/>
        </w:rPr>
        <w:t xml:space="preserve">Purpose: </w:t>
      </w:r>
      <w:r>
        <w:t>Closing report of an Actively Exploited Vulnerability or Severe Incident.</w:t>
      </w:r>
    </w:p>
    <w:p>
      <w:r>
        <w:rPr>
          <w:b/>
          <w:color w:val="0052FF"/>
        </w:rPr>
        <w:t xml:space="preserve">Deadline: </w:t>
      </w:r>
      <w:r>
        <w:t>Vulnerabilities: no later than 14 days after a corrective / mitigating measure becomes available. Severe incidents: within 1 month of the initial notification.</w:t>
      </w:r>
    </w:p>
    <w:p>
      <w:r>
        <w:rPr>
          <w:b/>
          <w:color w:val="0052FF"/>
        </w:rPr>
        <w:t xml:space="preserve">Precondition: </w:t>
      </w:r>
      <w:r>
        <w:t>Early Warning and 72-hour Notification have already been submitted.</w:t>
      </w:r>
    </w:p>
    <w:p>
      <w:r>
        <w:rPr>
          <w:b/>
          <w:color w:val="0052FF"/>
        </w:rPr>
        <w:t xml:space="preserve">Channel: </w:t>
      </w:r>
      <w:r>
        <w:t>ENISA CRA Single Reporting Platform (SRP) — submitted by an Assigned Representative (AR) via EU Login.</w:t>
      </w:r>
    </w:p>
    <w:p>
      <w:r>
        <w:rPr>
          <w:b/>
          <w:color w:val="0052FF"/>
        </w:rPr>
        <w:t xml:space="preserve">Source: </w:t>
      </w:r>
      <w:r>
        <w:t>ENISA SRP FAQ Q16 (v. 03/08/2026). X = Obligatory, C = Copied from previous step, I = Obligatory if info available, O = Optional.</w:t>
      </w:r>
    </w:p>
    <w:p/>
    <w:p>
      <w:pPr>
        <w:pStyle w:val="Heading2"/>
      </w:pPr>
      <w:r>
        <w:rPr>
          <w:color w:val="0B1220"/>
        </w:rPr>
        <w:t>1 · Metadata (copied — update if needed)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</w:tcPr>
          <w:p>
            <w:r>
              <w:rPr>
                <w:b/>
              </w:rPr>
              <w:t>#</w:t>
            </w:r>
          </w:p>
        </w:tc>
        <w:tc>
          <w:tcPr>
            <w:tcW w:type="dxa" w:w="3249"/>
          </w:tcPr>
          <w:p>
            <w:r>
              <w:rPr>
                <w:b/>
              </w:rPr>
              <w:t>Field</w:t>
            </w:r>
          </w:p>
        </w:tc>
        <w:tc>
          <w:tcPr>
            <w:tcW w:type="dxa" w:w="3249"/>
          </w:tcPr>
          <w:p>
            <w:r>
              <w:rPr>
                <w:b/>
              </w:rPr>
              <w:t>Value</w:t>
            </w:r>
          </w:p>
        </w:tc>
      </w:tr>
      <w:tr>
        <w:tc>
          <w:tcPr>
            <w:tcW w:type="dxa" w:w="3249"/>
          </w:tcPr>
          <w:p>
            <w:r>
              <w:t>1</w:t>
            </w:r>
          </w:p>
        </w:tc>
        <w:tc>
          <w:tcPr>
            <w:tcW w:type="dxa" w:w="3249"/>
          </w:tcPr>
          <w:p>
            <w:r>
              <w:t>Notification type</w:t>
            </w:r>
          </w:p>
        </w:tc>
        <w:tc>
          <w:tcPr>
            <w:tcW w:type="dxa" w:w="3249"/>
          </w:tcPr>
          <w:p>
            <w:r/>
          </w:p>
        </w:tc>
      </w:tr>
      <w:tr>
        <w:tc>
          <w:tcPr>
            <w:tcW w:type="dxa" w:w="3249"/>
          </w:tcPr>
          <w:p>
            <w:r>
              <w:t>2</w:t>
            </w:r>
          </w:p>
        </w:tc>
        <w:tc>
          <w:tcPr>
            <w:tcW w:type="dxa" w:w="3249"/>
          </w:tcPr>
          <w:p>
            <w:r>
              <w:t>Notification level</w:t>
            </w:r>
          </w:p>
        </w:tc>
        <w:tc>
          <w:tcPr>
            <w:tcW w:type="dxa" w:w="3249"/>
          </w:tcPr>
          <w:p>
            <w:r>
              <w:t>Final Report</w:t>
            </w:r>
          </w:p>
        </w:tc>
      </w:tr>
      <w:tr>
        <w:tc>
          <w:tcPr>
            <w:tcW w:type="dxa" w:w="3249"/>
          </w:tcPr>
          <w:p>
            <w:r>
              <w:t>7</w:t>
            </w:r>
          </w:p>
        </w:tc>
        <w:tc>
          <w:tcPr>
            <w:tcW w:type="dxa" w:w="3249"/>
          </w:tcPr>
          <w:p>
            <w:r>
              <w:t>Manufacturer / OSS steward</w:t>
            </w:r>
          </w:p>
        </w:tc>
        <w:tc>
          <w:tcPr>
            <w:tcW w:type="dxa" w:w="3249"/>
          </w:tcPr>
          <w:p>
            <w:r/>
          </w:p>
        </w:tc>
      </w:tr>
      <w:tr>
        <w:tc>
          <w:tcPr>
            <w:tcW w:type="dxa" w:w="3249"/>
          </w:tcPr>
          <w:p>
            <w:r>
              <w:t>8</w:t>
            </w:r>
          </w:p>
        </w:tc>
        <w:tc>
          <w:tcPr>
            <w:tcW w:type="dxa" w:w="3249"/>
          </w:tcPr>
          <w:p>
            <w:r>
              <w:t>Product</w:t>
            </w:r>
          </w:p>
        </w:tc>
        <w:tc>
          <w:tcPr>
            <w:tcW w:type="dxa" w:w="3249"/>
          </w:tcPr>
          <w:p>
            <w:r/>
          </w:p>
        </w:tc>
      </w:tr>
      <w:tr>
        <w:tc>
          <w:tcPr>
            <w:tcW w:type="dxa" w:w="3249"/>
          </w:tcPr>
          <w:p>
            <w:r>
              <w:t>9</w:t>
            </w:r>
          </w:p>
        </w:tc>
        <w:tc>
          <w:tcPr>
            <w:tcW w:type="dxa" w:w="3249"/>
          </w:tcPr>
          <w:p>
            <w:r>
              <w:t>Product Type</w:t>
            </w:r>
          </w:p>
        </w:tc>
        <w:tc>
          <w:tcPr>
            <w:tcW w:type="dxa" w:w="3249"/>
          </w:tcPr>
          <w:p>
            <w:r/>
          </w:p>
        </w:tc>
      </w:tr>
      <w:tr>
        <w:tc>
          <w:tcPr>
            <w:tcW w:type="dxa" w:w="3249"/>
          </w:tcPr>
          <w:p>
            <w:r>
              <w:t>10</w:t>
            </w:r>
          </w:p>
        </w:tc>
        <w:tc>
          <w:tcPr>
            <w:tcW w:type="dxa" w:w="3249"/>
          </w:tcPr>
          <w:p>
            <w:r>
              <w:t>Product Category</w:t>
            </w:r>
          </w:p>
        </w:tc>
        <w:tc>
          <w:tcPr>
            <w:tcW w:type="dxa" w:w="3249"/>
          </w:tcPr>
          <w:p>
            <w:r/>
          </w:p>
        </w:tc>
      </w:tr>
      <w:tr>
        <w:tc>
          <w:tcPr>
            <w:tcW w:type="dxa" w:w="3249"/>
          </w:tcPr>
          <w:p>
            <w:r>
              <w:t>11</w:t>
            </w:r>
          </w:p>
        </w:tc>
        <w:tc>
          <w:tcPr>
            <w:tcW w:type="dxa" w:w="3249"/>
          </w:tcPr>
          <w:p>
            <w:r>
              <w:t>Member States</w:t>
            </w:r>
          </w:p>
        </w:tc>
        <w:tc>
          <w:tcPr>
            <w:tcW w:type="dxa" w:w="3249"/>
          </w:tcPr>
          <w:p>
            <w:r/>
          </w:p>
        </w:tc>
      </w:tr>
      <w:tr>
        <w:tc>
          <w:tcPr>
            <w:tcW w:type="dxa" w:w="3249"/>
          </w:tcPr>
          <w:p>
            <w:r>
              <w:t>12</w:t>
            </w:r>
          </w:p>
        </w:tc>
        <w:tc>
          <w:tcPr>
            <w:tcW w:type="dxa" w:w="3249"/>
          </w:tcPr>
          <w:p>
            <w:r>
              <w:t>Title</w:t>
            </w:r>
          </w:p>
        </w:tc>
        <w:tc>
          <w:tcPr>
            <w:tcW w:type="dxa" w:w="3249"/>
          </w:tcPr>
          <w:p>
            <w:r/>
          </w:p>
        </w:tc>
      </w:tr>
    </w:tbl>
    <w:p>
      <w:pPr>
        <w:pStyle w:val="Heading2"/>
      </w:pPr>
      <w:r>
        <w:rPr>
          <w:color w:val="0B1220"/>
        </w:rPr>
        <w:t>2 · Vulnerability — final content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</w:tcPr>
          <w:p>
            <w:r>
              <w:rPr>
                <w:b/>
              </w:rPr>
              <w:t>#</w:t>
            </w:r>
          </w:p>
        </w:tc>
        <w:tc>
          <w:tcPr>
            <w:tcW w:type="dxa" w:w="3249"/>
          </w:tcPr>
          <w:p>
            <w:r>
              <w:rPr>
                <w:b/>
              </w:rPr>
              <w:t>Field</w:t>
            </w:r>
          </w:p>
        </w:tc>
        <w:tc>
          <w:tcPr>
            <w:tcW w:type="dxa" w:w="3249"/>
          </w:tcPr>
          <w:p>
            <w:r>
              <w:rPr>
                <w:b/>
              </w:rPr>
              <w:t>Value</w:t>
            </w:r>
          </w:p>
        </w:tc>
      </w:tr>
      <w:tr>
        <w:tc>
          <w:tcPr>
            <w:tcW w:type="dxa" w:w="3249"/>
          </w:tcPr>
          <w:p>
            <w:r>
              <w:t>v21</w:t>
            </w:r>
          </w:p>
        </w:tc>
        <w:tc>
          <w:tcPr>
            <w:tcW w:type="dxa" w:w="3249"/>
          </w:tcPr>
          <w:p>
            <w:r>
              <w:t>Date corrective / mitigating measure available (UTC)</w:t>
            </w:r>
          </w:p>
        </w:tc>
        <w:tc>
          <w:tcPr>
            <w:tcW w:type="dxa" w:w="3249"/>
          </w:tcPr>
          <w:p>
            <w:r/>
          </w:p>
        </w:tc>
      </w:tr>
      <w:tr>
        <w:tc>
          <w:tcPr>
            <w:tcW w:type="dxa" w:w="3249"/>
          </w:tcPr>
          <w:p>
            <w:r>
              <w:t>v22</w:t>
            </w:r>
          </w:p>
        </w:tc>
        <w:tc>
          <w:tcPr>
            <w:tcW w:type="dxa" w:w="3249"/>
          </w:tcPr>
          <w:p>
            <w:r>
              <w:t>Full description of the vulnerability</w:t>
            </w:r>
          </w:p>
        </w:tc>
        <w:tc>
          <w:tcPr>
            <w:tcW w:type="dxa" w:w="3249"/>
          </w:tcPr>
          <w:p>
            <w:r/>
          </w:p>
        </w:tc>
      </w:tr>
      <w:tr>
        <w:tc>
          <w:tcPr>
            <w:tcW w:type="dxa" w:w="3249"/>
          </w:tcPr>
          <w:p>
            <w:r>
              <w:t>v23</w:t>
            </w:r>
          </w:p>
        </w:tc>
        <w:tc>
          <w:tcPr>
            <w:tcW w:type="dxa" w:w="3249"/>
          </w:tcPr>
          <w:p>
            <w:r>
              <w:t>a. Severity (CVSS v3.1 base score &amp; vector, or equivalent)</w:t>
            </w:r>
          </w:p>
        </w:tc>
        <w:tc>
          <w:tcPr>
            <w:tcW w:type="dxa" w:w="3249"/>
          </w:tcPr>
          <w:p>
            <w:r/>
          </w:p>
        </w:tc>
      </w:tr>
      <w:tr>
        <w:tc>
          <w:tcPr>
            <w:tcW w:type="dxa" w:w="3249"/>
          </w:tcPr>
          <w:p>
            <w:r>
              <w:t>v24</w:t>
            </w:r>
          </w:p>
        </w:tc>
        <w:tc>
          <w:tcPr>
            <w:tcW w:type="dxa" w:w="3249"/>
          </w:tcPr>
          <w:p>
            <w:r>
              <w:t>b. Impact (C / I / A + blast radius)</w:t>
            </w:r>
          </w:p>
        </w:tc>
        <w:tc>
          <w:tcPr>
            <w:tcW w:type="dxa" w:w="3249"/>
          </w:tcPr>
          <w:p>
            <w:r/>
          </w:p>
        </w:tc>
      </w:tr>
      <w:tr>
        <w:tc>
          <w:tcPr>
            <w:tcW w:type="dxa" w:w="3249"/>
          </w:tcPr>
          <w:p>
            <w:r>
              <w:t>v25</w:t>
            </w:r>
          </w:p>
        </w:tc>
        <w:tc>
          <w:tcPr>
            <w:tcW w:type="dxa" w:w="3249"/>
          </w:tcPr>
          <w:p>
            <w:r>
              <w:t>Malicious actor / TTPs (I) — only if confirmed</w:t>
            </w:r>
          </w:p>
        </w:tc>
        <w:tc>
          <w:tcPr>
            <w:tcW w:type="dxa" w:w="3249"/>
          </w:tcPr>
          <w:p>
            <w:r/>
          </w:p>
        </w:tc>
      </w:tr>
      <w:tr>
        <w:tc>
          <w:tcPr>
            <w:tcW w:type="dxa" w:w="3249"/>
          </w:tcPr>
          <w:p>
            <w:r>
              <w:t>v26</w:t>
            </w:r>
          </w:p>
        </w:tc>
        <w:tc>
          <w:tcPr>
            <w:tcW w:type="dxa" w:w="3249"/>
          </w:tcPr>
          <w:p>
            <w:r>
              <w:t>Details on the security update / corrective measures</w:t>
            </w:r>
          </w:p>
        </w:tc>
        <w:tc>
          <w:tcPr>
            <w:tcW w:type="dxa" w:w="3249"/>
          </w:tcPr>
          <w:p>
            <w:r/>
          </w:p>
        </w:tc>
      </w:tr>
    </w:tbl>
    <w:p>
      <w:pPr>
        <w:pStyle w:val="Heading2"/>
      </w:pPr>
      <w:r>
        <w:rPr>
          <w:color w:val="0B1220"/>
        </w:rPr>
        <w:t>3 · Incident — final content</w:t>
      </w:r>
    </w:p>
    <w:p>
      <w:r>
        <w:rPr>
          <w:i/>
          <w:color w:val="4B5563"/>
        </w:rPr>
        <w:t>Fill only if this notification concerns an incident.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</w:tcPr>
          <w:p>
            <w:r>
              <w:rPr>
                <w:b/>
              </w:rPr>
              <w:t>#</w:t>
            </w:r>
          </w:p>
        </w:tc>
        <w:tc>
          <w:tcPr>
            <w:tcW w:type="dxa" w:w="3249"/>
          </w:tcPr>
          <w:p>
            <w:r>
              <w:rPr>
                <w:b/>
              </w:rPr>
              <w:t>Field</w:t>
            </w:r>
          </w:p>
        </w:tc>
        <w:tc>
          <w:tcPr>
            <w:tcW w:type="dxa" w:w="3249"/>
          </w:tcPr>
          <w:p>
            <w:r>
              <w:rPr>
                <w:b/>
              </w:rPr>
              <w:t>Value</w:t>
            </w:r>
          </w:p>
        </w:tc>
      </w:tr>
      <w:tr>
        <w:tc>
          <w:tcPr>
            <w:tcW w:type="dxa" w:w="3249"/>
          </w:tcPr>
          <w:p>
            <w:r>
              <w:t>i21</w:t>
            </w:r>
          </w:p>
        </w:tc>
        <w:tc>
          <w:tcPr>
            <w:tcW w:type="dxa" w:w="3249"/>
          </w:tcPr>
          <w:p>
            <w:r>
              <w:t>Severity (CRA Art. 14(5))</w:t>
            </w:r>
          </w:p>
        </w:tc>
        <w:tc>
          <w:tcPr>
            <w:tcW w:type="dxa" w:w="3249"/>
          </w:tcPr>
          <w:p>
            <w:r/>
          </w:p>
        </w:tc>
      </w:tr>
      <w:tr>
        <w:tc>
          <w:tcPr>
            <w:tcW w:type="dxa" w:w="3249"/>
          </w:tcPr>
          <w:p>
            <w:r>
              <w:t>i22</w:t>
            </w:r>
          </w:p>
        </w:tc>
        <w:tc>
          <w:tcPr>
            <w:tcW w:type="dxa" w:w="3249"/>
          </w:tcPr>
          <w:p>
            <w:r>
              <w:t>Detailed severity rationale</w:t>
            </w:r>
          </w:p>
        </w:tc>
        <w:tc>
          <w:tcPr>
            <w:tcW w:type="dxa" w:w="3249"/>
          </w:tcPr>
          <w:p>
            <w:r/>
          </w:p>
        </w:tc>
      </w:tr>
      <w:tr>
        <w:tc>
          <w:tcPr>
            <w:tcW w:type="dxa" w:w="3249"/>
          </w:tcPr>
          <w:p>
            <w:r>
              <w:t>i23</w:t>
            </w:r>
          </w:p>
        </w:tc>
        <w:tc>
          <w:tcPr>
            <w:tcW w:type="dxa" w:w="3249"/>
          </w:tcPr>
          <w:p>
            <w:r>
              <w:t>Impact</w:t>
            </w:r>
          </w:p>
        </w:tc>
        <w:tc>
          <w:tcPr>
            <w:tcW w:type="dxa" w:w="3249"/>
          </w:tcPr>
          <w:p>
            <w:r/>
          </w:p>
        </w:tc>
      </w:tr>
      <w:tr>
        <w:tc>
          <w:tcPr>
            <w:tcW w:type="dxa" w:w="3249"/>
          </w:tcPr>
          <w:p>
            <w:r>
              <w:t>i24</w:t>
            </w:r>
          </w:p>
        </w:tc>
        <w:tc>
          <w:tcPr>
            <w:tcW w:type="dxa" w:w="3249"/>
          </w:tcPr>
          <w:p>
            <w:r>
              <w:t>Threat / root cause</w:t>
            </w:r>
          </w:p>
        </w:tc>
        <w:tc>
          <w:tcPr>
            <w:tcW w:type="dxa" w:w="3249"/>
          </w:tcPr>
          <w:p>
            <w:r/>
          </w:p>
        </w:tc>
      </w:tr>
      <w:tr>
        <w:tc>
          <w:tcPr>
            <w:tcW w:type="dxa" w:w="3249"/>
          </w:tcPr>
          <w:p>
            <w:r>
              <w:t>i25</w:t>
            </w:r>
          </w:p>
        </w:tc>
        <w:tc>
          <w:tcPr>
            <w:tcW w:type="dxa" w:w="3249"/>
          </w:tcPr>
          <w:p>
            <w:r>
              <w:t>Applied and ongoing mitigation</w:t>
            </w:r>
          </w:p>
        </w:tc>
        <w:tc>
          <w:tcPr>
            <w:tcW w:type="dxa" w:w="3249"/>
          </w:tcPr>
          <w:p>
            <w:r/>
          </w:p>
        </w:tc>
      </w:tr>
    </w:tbl>
    <w:p>
      <w:pPr>
        <w:pStyle w:val="Heading2"/>
      </w:pPr>
      <w:r>
        <w:rPr>
          <w:color w:val="0B1220"/>
        </w:rPr>
        <w:t>4 · User communication delivered</w:t>
      </w:r>
    </w:p>
    <w:p>
      <w:r>
        <w:t>☐ Impacted users notified — date: ______________</w:t>
      </w:r>
    </w:p>
    <w:p>
      <w:r>
        <w:t>☐ Public advisory published — URL: https://______________</w:t>
      </w:r>
    </w:p>
    <w:p>
      <w:r>
        <w:t>☐ Channels used: email / in-product / vendor portal / partner network / social</w:t>
      </w:r>
    </w:p>
    <w:p>
      <w:pPr>
        <w:pStyle w:val="Heading2"/>
      </w:pPr>
      <w:r>
        <w:rPr>
          <w:color w:val="0B1220"/>
        </w:rPr>
        <w:t>5 · Evidence retained (traceable case file)</w:t>
      </w:r>
    </w:p>
    <w:p>
      <w:r>
        <w:t>☐ Awareness timestamp</w:t>
      </w:r>
    </w:p>
    <w:p>
      <w:r>
        <w:t>☐ All draft &amp; submitted notifications (Early Warning, 72 h, Final)</w:t>
      </w:r>
    </w:p>
    <w:p>
      <w:r>
        <w:t>☐ Intermediate updates requested by the CDaC</w:t>
      </w:r>
    </w:p>
    <w:p>
      <w:r>
        <w:t>☐ Patch / update artifact &amp; signature</w:t>
      </w:r>
    </w:p>
    <w:p>
      <w:r>
        <w:t>☐ Verification test results</w:t>
      </w:r>
    </w:p>
    <w:p>
      <w:r>
        <w:t>☐ User notification artefacts</w:t>
      </w:r>
    </w:p>
    <w:p>
      <w:pPr>
        <w:pStyle w:val="Heading2"/>
      </w:pPr>
      <w:r>
        <w:rPr>
          <w:color w:val="0B1220"/>
        </w:rPr>
        <w:t>Approvals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</w:tcPr>
          <w:p>
            <w:r>
              <w:rPr>
                <w:b/>
              </w:rPr>
              <w:t>Role</w:t>
            </w:r>
          </w:p>
        </w:tc>
        <w:tc>
          <w:tcPr>
            <w:tcW w:type="dxa" w:w="3249"/>
          </w:tcPr>
          <w:p>
            <w:r>
              <w:rPr>
                <w:b/>
              </w:rPr>
              <w:t>Name</w:t>
            </w:r>
          </w:p>
        </w:tc>
        <w:tc>
          <w:tcPr>
            <w:tcW w:type="dxa" w:w="3249"/>
          </w:tcPr>
          <w:p>
            <w:r>
              <w:rPr>
                <w:b/>
              </w:rPr>
              <w:t>Signed off</w:t>
            </w:r>
          </w:p>
        </w:tc>
      </w:tr>
      <w:tr>
        <w:tc>
          <w:tcPr>
            <w:tcW w:type="dxa" w:w="3249"/>
          </w:tcPr>
          <w:p>
            <w:r>
              <w:t>Primary AR</w:t>
            </w:r>
          </w:p>
        </w:tc>
        <w:tc>
          <w:tcPr>
            <w:tcW w:type="dxa" w:w="3249"/>
          </w:tcPr>
          <w:p>
            <w:r/>
          </w:p>
        </w:tc>
        <w:tc>
          <w:tcPr>
            <w:tcW w:type="dxa" w:w="3249"/>
          </w:tcPr>
          <w:p>
            <w:r/>
          </w:p>
        </w:tc>
      </w:tr>
      <w:tr>
        <w:tc>
          <w:tcPr>
            <w:tcW w:type="dxa" w:w="3249"/>
          </w:tcPr>
          <w:p>
            <w:r>
              <w:t>Product Security Lead</w:t>
            </w:r>
          </w:p>
        </w:tc>
        <w:tc>
          <w:tcPr>
            <w:tcW w:type="dxa" w:w="3249"/>
          </w:tcPr>
          <w:p>
            <w:r/>
          </w:p>
        </w:tc>
        <w:tc>
          <w:tcPr>
            <w:tcW w:type="dxa" w:w="3249"/>
          </w:tcPr>
          <w:p>
            <w:r/>
          </w:p>
        </w:tc>
      </w:tr>
      <w:tr>
        <w:tc>
          <w:tcPr>
            <w:tcW w:type="dxa" w:w="3249"/>
          </w:tcPr>
          <w:p>
            <w:r>
              <w:t>Engineering Lead</w:t>
            </w:r>
          </w:p>
        </w:tc>
        <w:tc>
          <w:tcPr>
            <w:tcW w:type="dxa" w:w="3249"/>
          </w:tcPr>
          <w:p>
            <w:r/>
          </w:p>
        </w:tc>
        <w:tc>
          <w:tcPr>
            <w:tcW w:type="dxa" w:w="3249"/>
          </w:tcPr>
          <w:p>
            <w:r/>
          </w:p>
        </w:tc>
      </w:tr>
      <w:tr>
        <w:tc>
          <w:tcPr>
            <w:tcW w:type="dxa" w:w="3249"/>
          </w:tcPr>
          <w:p>
            <w:r>
              <w:t>Legal / Compliance</w:t>
            </w:r>
          </w:p>
        </w:tc>
        <w:tc>
          <w:tcPr>
            <w:tcW w:type="dxa" w:w="3249"/>
          </w:tcPr>
          <w:p>
            <w:r/>
          </w:p>
        </w:tc>
        <w:tc>
          <w:tcPr>
            <w:tcW w:type="dxa" w:w="3249"/>
          </w:tcPr>
          <w:p>
            <w:r/>
          </w:p>
        </w:tc>
      </w:tr>
      <w:tr>
        <w:tc>
          <w:tcPr>
            <w:tcW w:type="dxa" w:w="3249"/>
          </w:tcPr>
          <w:p>
            <w:r>
              <w:t>PR / Customer Comms</w:t>
            </w:r>
          </w:p>
        </w:tc>
        <w:tc>
          <w:tcPr>
            <w:tcW w:type="dxa" w:w="3249"/>
          </w:tcPr>
          <w:p>
            <w:r/>
          </w:p>
        </w:tc>
        <w:tc>
          <w:tcPr>
            <w:tcW w:type="dxa" w:w="3249"/>
          </w:tcPr>
          <w:p>
            <w:r/>
          </w:p>
        </w:tc>
      </w:tr>
    </w:tbl>
    <w:p>
      <w:r>
        <w:rPr>
          <w:i/>
          <w:color w:val="4B5563"/>
        </w:rPr>
        <w:t>Template compiled by NexTech.Law from ENISA SRP FAQ Q16 and CRA Art. 14(2)(c). Final Reports are non-editable in the SRP after submission — review carefully before sending. General guidance only — not legal advice.</w:t>
      </w:r>
    </w:p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